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99 vom 17. November 2024</w:t>
      </w:r>
    </w:p>
    <w:p>
      <w:r>
        <w:t>VS Kantonsgericht, 2024-11-17, DE</w:t>
      </w:r>
    </w:p>
    <w:p>
      <w:r>
        <w:rPr>
          <w:b/>
        </w:rPr>
        <w:t xml:space="preserve">Quelle: </w:t>
      </w:r>
      <w:r>
        <w:t>https://mcp.opencaselaw.ch/entscheid/vs_gerichte_S1 24 99</w:t>
      </w:r>
    </w:p>
    <w:p>
      <w:r>
        <w:t>FR: VS_GERICHTE S1 24 99 du 17 novembre 2024</w:t>
      </w:r>
    </w:p>
    <w:p>
      <w:r>
        <w:t>IT: VS_GERICHTE S1 24 99 del 17 novembre 2024</w:t>
      </w:r>
    </w:p>
    <w:p>
      <w:pPr>
        <w:pStyle w:val="Heading2"/>
      </w:pPr>
      <w:r>
        <w:t>Regeste</w:t>
      </w:r>
    </w:p>
    <w:p>
      <w:r>
        <w:t>S1 24 99 URTEIL VOM 17. NOVEMBER 2024 Kantonsgericht Wallis Sozialversicherungsrechtliche Abteilung Besetzung: Michael Steiner, Präsident; Candido Prada und Dr. Thierry Schnyder, Kantonsrichter; Renata Kreuzer, Gerichtsschreiberin in Sachen X _________, Beschwerdeführerin, vertreten durch Rechtsanwalt Daniel Schilliger, Olten gegen KANTONALE IV-STELLE, Beschwerdegegnerin PREVIS VORSORGE, betroffener Dritter (Restarbeitsfähigkeit, Valideneinkommen, Tabellenlohnabzug) Beschwerde gegen die Verfügung vom 8. Mai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w:t>
      </w:r>
    </w:p>
    <w:p>
      <w:r>
        <w:t>- 7 -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ist die Änderung vom 19. Juni 2020 des IVG (Weiterentwickling der IV) in Kraft getreten. In intertemporalrechtlicher Hinsicht gilt – vorbehältlich beson- derer übergangsrechtlicher Regelungen – der Grundsatz, dass diejenigen Rechtssätze massgebend sind, die bei der Erfüllung des rechtlich zu ordnenden oder zu Rechtsfolgen führenden Tatbestandes Geltung haben (BGE 146 V 364 E. 71.1, 144 V 210 E. 4.3.1). Zwar datiert die angefochtene Verfügung vom 8. Mai 2024, womit sie nach dem Inkraft- treten der IVG-Änderung vom 19. Juni 2020 erging. Indessen liegt der frühestmögliche Zeitpunkt der potentiellen Entstehung des Rentenanspruchs vor dem 1. Januar 2022, weshalb (mangels Vorliegens eines Revisionsgrundes mit Neufestsetzung des Renten- anspruchs nach dem 1. Januar 2022) die Bestimmungen des IVG und diejenigen der Verordnung vom 17. Januar 1961 über die Invalidenversicherung (IVV) in der bis zum 31. Dezember 2021 gültigen Fassung massgebend sind (vgl. auch Ziff. 9100f. KSIR); zur Bedeutung von Verwaltungsanweisungen vgl. BGE 144 V 195 E. 4.2).</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Beschwerdeinstanz nur geprüft, wenn hierzu aufgrund der Parteivorbringen oder ande- rer sich aus den Akten ergebender Anhaltspunkte hinreichend Anlass besteht (BGE 119 V 347 E. 1a).</w:t>
      </w:r>
    </w:p>
    <w:p>
      <w:r>
        <w:rPr>
          <w:b/>
        </w:rPr>
        <w:t>E. 2.3</w:t>
      </w:r>
    </w:p>
    <w:p>
      <w:r>
        <w:t>Streitig und zu prüfen ist die Frage, ob die Invalidenversicherung ihrer Untersu- chungspflicht bezüglich der Abklärung der Restarbeitsfähigkeit Genüge getan und den Invaliditätsgrad gestützt darauf unter Zugrundelegung der korrekten Vergleichseinkom- men berechnet hat.</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w:t>
      </w:r>
    </w:p>
    <w:p>
      <w:r>
        <w:t>- 8 -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 Dabei ist eine objektive Betrachtungsweise und nicht das subjek- tive Empfinden der versicherten Person massgebend (BGE 141 V 281 E. 3.7.1)</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4. Aufl. 2022, Nr. 7 zu Art. 59).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w:t>
      </w:r>
    </w:p>
    <w:p>
      <w:r>
        <w:rPr>
          <w:b/>
        </w:rPr>
        <w:t>E. 4.1</w:t>
      </w:r>
    </w:p>
    <w:p>
      <w:r>
        <w:t>Die IV-Stelle stützte sich für die Beurteilung der Arbeitsfähigkeit auf die Berichte ihrer RAD-Ärztin. Diese erstattete ihre Stellungnahmen gestützt auf das SMAB-Gutach- ten sowie die neuropsychologische Testung und in Kenntnis der sich im IV-Dossier be- findenden Berichte der beurteilenden und behandelnden Fachärzte.</w:t>
      </w:r>
    </w:p>
    <w:p>
      <w:r>
        <w:t>- 9 -</w:t>
      </w:r>
    </w:p>
    <w:p>
      <w:r>
        <w:rPr>
          <w:b/>
        </w:rPr>
        <w:t>E. 4.1.1</w:t>
      </w:r>
    </w:p>
    <w:p>
      <w:r>
        <w:t>Aus dem SMAB-Gutachten ergab sich, dass der Ursprung der körperlicher Ein- schränkungen der Beschwerdeführerin psychiatrischer Genese ist. Da sich sämtliche dieser Einschränkungen nicht objektivieren liessen und nach dem Ausschluss einer Ag- gravation war eine Indikatorenprüfung nach BGE 141 V 281 durchzuführen. Gemäss dieser bundesgerichtlichen Rechtsprechung ist die tatsächliche Arbeits- und Leistungs- fähigkeit der versicherten Person grundsätzlich in einem strukturierten, ergebnisoffenen Beweisverfahren anhand von auf den funktionellen Schweregrad bezogenen Standar- dindikatoren zu ermitteln. Diese Standardindikatoren erlauben – unter Berücksichtigung leistungshindernder äusserer Belastungsfaktoren einerseits und Kompensationspotenzialen (Ressourcen) anderseits – das tatsächlich erreichbare Leistungsvermögen einzuschätzen (BGE 141 V 281 E. 3.4-3.6 und E. 4.1; vgl. Bundesgerichtsurteil 8C_260/2017 vom 1. Dezember 2017 E. 4.2.3). 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Wahrscheinlichkeit nachgewiesen sind. Fehlt es daran, hat die Folgen der Beweislosigkeit (nach wie vor) die materiell be- weisbelastete versicherte Person zu tragen (BGE 141 V 547 E. 2, 141 V 281 E. 6). Im psychiatrischen Teilgutachten wurde das Beschwerdebild anhand der vom Bundes- gericht vorgegebenen Indikatoren geprüft. Der Gutachter stellte die Diagnose einer kom- plexen dissoziativen Störung. Die bisherigen psychosomatischen und psychologischen Behandlungen hätten keinen nachhaltigen positiven Effekt gehabt. Solange die zugrun- deliegende Psychodynamik für die beschriebenen dissoziativen Störungen nicht ver- standen worden sei, lasse sich eine brauchbare Behandlung nicht etablieren. Die guten persönlichen Ressourcen und die gute Resilienz der Versicherten sowie das intakte so- ziale Umfeld seien als positiv hervorzuheben. Psychosoziale Belastungsfaktoren seien die fehlende berufliche Perspektive und die Abhängigkeit von Dritten. Diese führten aber nicht zu direkt negativen funktionellen Folgen. Aufgrund des unvorhersehbaren Auftre- tens der Anfälle, die zu einem Arbeitsausfall führten und sich ein- bis zweimal pro Woche ereigneten, könne für eine leidensadaptierte Tätigkeit eine Arbeitsfähigkeit von ca. 85% angenommen werden.</w:t>
      </w:r>
    </w:p>
    <w:p>
      <w:r>
        <w:rPr>
          <w:b/>
        </w:rPr>
        <w:t>E. 4.1.2</w:t>
      </w:r>
    </w:p>
    <w:p>
      <w:r>
        <w:t>Der neuropsychologische Test vom 31. Mai 2022 war aufgrund der unplausiblen und logisch inkonsistenten Symptomproduktion nicht verwertbar. Der beurteilende Fach- psychologe für Neuropsychologie konnte keine gültigen Aussagen über die tatsächliche</w:t>
      </w:r>
    </w:p>
    <w:p>
      <w:r>
        <w:t>- 10 - kognitive Leistungsfähigkeit der Probandin machen. Die Einschränkungen der Funkti- onsfähigkeit und der Arbeitsfähigkeit aufgrund einer wahrscheinlichen Psychopathologie seien aus psychiatrischer Sicht zu beurteilen.</w:t>
      </w:r>
    </w:p>
    <w:p>
      <w:r>
        <w:rPr>
          <w:b/>
        </w:rPr>
        <w:t>E. 4.1.3</w:t>
      </w:r>
    </w:p>
    <w:p>
      <w:r>
        <w:t>Daraus folgerte die RAD-Ärztin, aus den neuropsychologischen Untersuchungen liessen sich keine gültigen Aussagen über die tatsächliche kognitive Leistungsfähigkeit der Versicherten ableiten. Es gebe jedoch keinerlei Hinweise für eine hirnorganisch be- dingte kognitive Funktionsbeeinträchtigung, dies bei Besuch der regulären Schule mit guten Leistungen in den meisten Fächern, einem erfolgreichen Absolvieren zweier EFZ- Berufslehren und dem Fehlen einer Hirnpathologie u.a. in Schädel MRI-Untersuchun- gen. In der Untersuchung sei die Diskrepanz der Leistung im Gespräch und der demons- trierten Minderleistung in der Testung aufgefallen. Eine Einschränkung aus neuropsy- chologischer Sicht könne daraus nicht abgeleitet werden.</w:t>
      </w:r>
    </w:p>
    <w:p>
      <w:r>
        <w:rPr>
          <w:b/>
        </w:rPr>
        <w:t>E. 4.2</w:t>
      </w:r>
    </w:p>
    <w:p>
      <w:r>
        <w:t>Gemäss der bundesgerichtlichen Rechtsprechung gelten psychische Störungen der hier interessierenden Art nur dann als invalidisierend, wenn sie schwer und therapeu- tisch nicht (mehr) angehbar sind. Rückschlüsse auf den Schweregrad einer Gesund- heitsschädigung ergeben sich nicht nur aus der medizinischen Behandlung, sondern auch aus der Eingliederung im Rechtssinne. Eine trotz optimaler Kooperation misslun- gene Eingliederung im Rahmen eines gesamthaften, die jeweiligen Umstände des Ein- zelfalls berücksichtigenden Settings, gilt als Indiz für eine invalidisierende Beeinträchti- gung (BGE 141 V 281 E. 4.3.1.2).</w:t>
      </w:r>
    </w:p>
    <w:p>
      <w:r>
        <w:rPr>
          <w:b/>
        </w:rPr>
        <w:t>E. 4.2.1</w:t>
      </w:r>
    </w:p>
    <w:p>
      <w:r>
        <w:t>Im Nachgang zum SMAB-Gutachten führte die IV-Stelle vom 12. August bis zum 30. November 2020 ein Belastbarkeitstraining im Atelier Manus durch. Die Beschwerde- führerin arbeitete an einem Webstuhl, der einhändig bedient werden konnte. Das Ar- beitspensum konnte dabei von zwei auf drei Stunden pro Tag (bei vier Tagen pro Woche) gesteigert werden, was aber oftmals zu viel war. Von Seiten der Beschwerdeführerin bestand zwar die Bereitschaft, auf vier Stunden pro Tag zu steigern, dies konnte sie aber nicht erreichen. Die Arbeit gefiel der Beschwerdeführerin, sie konnte diese sauber und exakt erledigen. Die quantitative Leistung war jedoch niedrig. Es waren nach einer Stunde regelmässig zehn bis fünfzehn Minuten Pause notwendig. Geistige Absenzen traten mehrmals ein. Ebenfalls kam es zu Erschöpfungszuständen, Sprachstörungen und erschwertem Atmen. Die Beschwerdeführerin zeigte grossen Willen und Antrieb zur Arbeit. Sie kam mit Lust und Freude hin und konnte ihren Aussagen zufolge ein Stück Normalität zurückgewinnen. Sie brachte eigene Gestaltungsideen bezüglich Farben und Muster ein. Die Coaches im Atelier Manus führten die Minderleistung auf die offensicht-</w:t>
      </w:r>
    </w:p>
    <w:p>
      <w:r>
        <w:t>- 11 - lich bestehenden gesundheitlichen Einschränkungen und damit verbundene Folgen zu- rück. Ab anfangs November liess die Beinkraft der Beschwerdeführerin massiv nach. Es war ihr nur noch schwer möglich, allein zu laufen. Sie konnte nicht mehr mit dem öffent- lichen Verkehr zur Arbeit gehen, sondern war auf ihren privaten Taxidienst angewiesen. Auch bei der Arbeit am Webstuhl war sie auf Hilfe angewiesen.</w:t>
      </w:r>
    </w:p>
    <w:p>
      <w:r>
        <w:rPr>
          <w:b/>
        </w:rPr>
        <w:t>E. 4.2.2</w:t>
      </w:r>
    </w:p>
    <w:p>
      <w:r>
        <w:t>Gemäss den regelmässigen Berichten über das Belastbarkeitstraining kann davon ausgegangen werden, dass die Beschwerdeführerin sehr gut kooperiert hat und die Tä- tigkeit – abgesehen von der zeitlichen Belastung und zeitweiligem Lärm, vor dem sie sich aber zu schützen lernte – für sie leidensangepasst war. Trotzdem konnte die Ar- beitszeit nicht über drei Stunden pro Tag (inkl. Ruhepausen) gesteigert werden. Im Sinne der bundesgerichtlichen Rechtsprechung (BGE 141 V 281 E. 4.3.1.2) muss dies als Indiz dafür gelten, dass der Schweregrad der invalidisierenden Beeinträchtigung unter Um- ständen grösser sein könnte, als im SMAB-Gutachten angenommen. Der Neuropsycho- loge riet nach der Testung vom 31. Mai 2022 zur Beurteilung durch einen Psychiater, da er von einer Psychopathologie ausging. Auch wenn eine Psychopathologie im psychiat- rischen SMAB-Teilgutachten diagnostiziert und die Indikatorenprüfung durchgeführt wor- den war, hätte die RAD-Ärztin aufgrund dieser neuen Indizien nicht einfach an ihrer bis- herigen Beurteilung festhalten dürfen, sondern beim psychiatrischen Gutachter des SMAB oder zumindest bei einem RAD-Psychiater Rückfrage nehmen müssen (Bundes- gerichtsurteil 8C_236/2024 vom 9. Oktober 2024 E. 4.2 und 4.4).</w:t>
      </w:r>
    </w:p>
    <w:p>
      <w:r>
        <w:rPr>
          <w:b/>
        </w:rPr>
        <w:t>E. 4.3</w:t>
      </w:r>
    </w:p>
    <w:p>
      <w:r>
        <w:t>Aufgrund des Gesagten ist festzustellen, dass die IV-Stelle der ihr obliegenden Un- tersuchungspflicht in ungenügender Weise nachgekommen ist. Eine Rückweisung der Sache an die Beschwerdegegnerin rechtfertigt sich, da die ungenügende Abklärung ei- nen streitigen Punkt betrifft, der im Verwaltungsverfahren vollständig ungeklärt blieb (BGE 137 V 210 E. 4.4.1.4). Für das erkennende Gericht ist es nicht möglich, über die Restarbeitsfähigkeit der Beschwerdeführerin in einer optimal angepassten Tätigkeit mit dem im Sozialversicherungsrecht notwendigen Beweisgrad der überwiegenden Wahr- scheinlichkeit zu befinden. Die Beschwerde ist in dem Sinne gutzuheissen, als die Ver- fügung aufzuheben und die Sache zur Vornahme der notwendigen Abklärungen (psy- chiatrisches Gutachten) und zur Neubeurteilung an die IV-Stelle zurückzuweisen ist. Bei diesem Ausgang des Verfahrens erübrigt es sich, darüber zu befinden, ob der Inva- liditätsberechnung die korrekten Vergleichseinkommen zugrunde gelegt worden sind. Es wird in diesem Zusammenhang aber darauf hingewiesen, dass die IV-Stelle auch in die- ser Hinsicht ihrer Untersuchungspflicht nachzukommen hat.</w:t>
      </w:r>
    </w:p>
    <w:p>
      <w:r>
        <w:t>- 12 -</w:t>
      </w:r>
    </w:p>
    <w:p>
      <w:r>
        <w:rPr>
          <w:b/>
        </w:rPr>
        <w:t>E. 5.1</w:t>
      </w:r>
    </w:p>
    <w:p>
      <w:r>
        <w:t>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(BGE 141 V 281 E. 11.1 mit Hinweis). Dementsprechend wird die Beschwerdegegnerin kosten- und entschädigungspflichtig (Art. 89 Abs. 1 VVRG und Art. 61 lit. g ATSG).</w:t>
      </w:r>
    </w:p>
    <w:p>
      <w:r>
        <w:rPr>
          <w:b/>
        </w:rPr>
        <w:t>E. 5.2</w:t>
      </w:r>
    </w:p>
    <w:p>
      <w:r>
        <w:t>Das Beschwerdeverfahren bei Streitigkeiten um die Bewilligung oder die Verweige- rung von IV-Leistungen vor dem Kantonsgericht ist kostenpflichtig (Art. 69 Abs. 1bis IVG). Aufgrund des Verfahrensaufwandes werden die Kosten zu Lasten der IV-Stelle auf CHF 500 festgesetzt.</w:t>
      </w:r>
    </w:p>
    <w:p>
      <w:r>
        <w:rPr>
          <w:b/>
        </w:rPr>
        <w:t>E. 5.3</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CHF 1’800 (inkl. Auslagen und Mehr- wertsteuer) festsetzt (Art. 61 lit. g ATSG;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